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1F0373">
        <w:rPr>
          <w:rFonts w:cs="Arial"/>
          <w:b/>
          <w:sz w:val="24"/>
          <w:szCs w:val="24"/>
        </w:rPr>
        <w:t>LUNES 10 DE OCTUBRE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1F0373">
        <w:rPr>
          <w:rFonts w:cs="Arial"/>
          <w:sz w:val="24"/>
          <w:szCs w:val="24"/>
        </w:rPr>
        <w:t>10 de Octubre</w:t>
      </w:r>
      <w:r w:rsidR="00165653">
        <w:rPr>
          <w:rFonts w:cs="Arial"/>
          <w:sz w:val="24"/>
          <w:szCs w:val="24"/>
        </w:rPr>
        <w:t xml:space="preserve"> </w:t>
      </w:r>
      <w:proofErr w:type="spellStart"/>
      <w:r w:rsidRPr="002A1A49">
        <w:rPr>
          <w:rFonts w:cs="Arial"/>
          <w:sz w:val="24"/>
          <w:szCs w:val="24"/>
        </w:rPr>
        <w:t>de</w:t>
      </w:r>
      <w:proofErr w:type="spellEnd"/>
      <w:r w:rsidRPr="002A1A49">
        <w:rPr>
          <w:rFonts w:cs="Arial"/>
          <w:sz w:val="24"/>
          <w:szCs w:val="24"/>
        </w:rPr>
        <w:t xml:space="preserv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906C9C" w:rsidRPr="002A1A49" w:rsidRDefault="00906C9C" w:rsidP="002A1A49">
      <w:pPr>
        <w:pStyle w:val="Prrafodelista"/>
        <w:numPr>
          <w:ilvl w:val="0"/>
          <w:numId w:val="1"/>
        </w:numPr>
        <w:jc w:val="both"/>
        <w:rPr>
          <w:rFonts w:ascii="Arial" w:hAnsi="Arial" w:cs="Arial"/>
          <w:sz w:val="24"/>
          <w:szCs w:val="24"/>
        </w:rPr>
      </w:pPr>
      <w:r>
        <w:rPr>
          <w:rFonts w:ascii="Arial" w:hAnsi="Arial" w:cs="Arial"/>
          <w:sz w:val="24"/>
          <w:szCs w:val="24"/>
        </w:rPr>
        <w:t xml:space="preserve">Revisión, discusión y, en su caso, confirmar, modificar o revocar la iniciativa de reserva de información en cuanto </w:t>
      </w:r>
      <w:r w:rsidR="00F65998">
        <w:rPr>
          <w:rFonts w:ascii="Arial" w:hAnsi="Arial" w:cs="Arial"/>
          <w:sz w:val="24"/>
          <w:szCs w:val="24"/>
        </w:rPr>
        <w:t>al expediente de la investigación que se realiza al C. Nery Steve Cardona López.</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906C9C" w:rsidRDefault="00906C9C" w:rsidP="00906C9C">
      <w:pPr>
        <w:rPr>
          <w:rFonts w:cs="Arial"/>
          <w:b/>
          <w:sz w:val="24"/>
          <w:szCs w:val="24"/>
        </w:rPr>
      </w:pPr>
      <w:r w:rsidRPr="00906C9C">
        <w:rPr>
          <w:rFonts w:cs="Arial"/>
          <w:b/>
          <w:sz w:val="24"/>
          <w:szCs w:val="24"/>
        </w:rPr>
        <w:t>3.- Revisión, discusión y, en su caso, confirmar, modificar o revocar la iniciativa de rese</w:t>
      </w:r>
      <w:r w:rsidR="00F65998">
        <w:rPr>
          <w:rFonts w:cs="Arial"/>
          <w:b/>
          <w:sz w:val="24"/>
          <w:szCs w:val="24"/>
        </w:rPr>
        <w:t xml:space="preserve">rva de información en cuanto </w:t>
      </w:r>
      <w:r w:rsidR="00F65998">
        <w:rPr>
          <w:rFonts w:cs="Arial"/>
          <w:sz w:val="24"/>
          <w:szCs w:val="24"/>
        </w:rPr>
        <w:t>al expediente de la investigación que se realiza al C. Nery Steve Cardona López.</w:t>
      </w:r>
    </w:p>
    <w:p w:rsidR="00906C9C" w:rsidRDefault="00906C9C" w:rsidP="00906C9C">
      <w:pPr>
        <w:rPr>
          <w:rFonts w:cs="Arial"/>
          <w:b/>
          <w:sz w:val="24"/>
          <w:szCs w:val="24"/>
        </w:rPr>
      </w:pPr>
    </w:p>
    <w:p w:rsidR="00906C9C" w:rsidRPr="00CC5C43" w:rsidRDefault="00906C9C" w:rsidP="00906C9C">
      <w:pPr>
        <w:rPr>
          <w:rFonts w:cs="Arial"/>
          <w:sz w:val="24"/>
          <w:szCs w:val="24"/>
        </w:rPr>
      </w:pPr>
      <w:r w:rsidRPr="00CC5C43">
        <w:rPr>
          <w:rFonts w:cs="Arial"/>
          <w:sz w:val="24"/>
          <w:szCs w:val="24"/>
        </w:rPr>
        <w:t>La Secretaria del Comité comentó que derivado de la solicitud de información identific</w:t>
      </w:r>
      <w:r w:rsidR="00F65998">
        <w:rPr>
          <w:rFonts w:cs="Arial"/>
          <w:sz w:val="24"/>
          <w:szCs w:val="24"/>
        </w:rPr>
        <w:t>ada con número de expediente 813</w:t>
      </w:r>
      <w:r w:rsidRPr="00CC5C43">
        <w:rPr>
          <w:rFonts w:cs="Arial"/>
          <w:sz w:val="24"/>
          <w:szCs w:val="24"/>
        </w:rPr>
        <w:t>/2016 y de conformidad con el artículo 18 de la Ley de Transparencia, es necesidad del Comité sesionar para negar el acceso o entrega de información reservada a un solicitante.</w:t>
      </w:r>
    </w:p>
    <w:p w:rsidR="00906C9C" w:rsidRPr="00CC5C43" w:rsidRDefault="00906C9C" w:rsidP="00906C9C">
      <w:pPr>
        <w:rPr>
          <w:rFonts w:cs="Arial"/>
          <w:sz w:val="24"/>
          <w:szCs w:val="24"/>
        </w:rPr>
      </w:pPr>
    </w:p>
    <w:p w:rsidR="00906C9C" w:rsidRPr="00CC5C43" w:rsidRDefault="00906C9C" w:rsidP="00906C9C">
      <w:pPr>
        <w:rPr>
          <w:rFonts w:cs="Arial"/>
          <w:sz w:val="24"/>
          <w:szCs w:val="24"/>
        </w:rPr>
      </w:pPr>
      <w:r w:rsidRPr="00CC5C43">
        <w:rPr>
          <w:rFonts w:cs="Arial"/>
          <w:sz w:val="24"/>
          <w:szCs w:val="24"/>
        </w:rPr>
        <w:t xml:space="preserve">Asimismo, el artículo 61 de la Ley estipula que el procedimiento de clasificación inicial de información pública se debe realizar </w:t>
      </w:r>
      <w:r w:rsidR="007932B2" w:rsidRPr="00CC5C43">
        <w:rPr>
          <w:rFonts w:cs="Arial"/>
          <w:sz w:val="24"/>
          <w:szCs w:val="24"/>
        </w:rPr>
        <w:t xml:space="preserve">por los titulares </w:t>
      </w:r>
      <w:r w:rsidR="007932B2" w:rsidRPr="00CC5C43">
        <w:rPr>
          <w:rFonts w:cs="Arial"/>
          <w:sz w:val="24"/>
          <w:szCs w:val="24"/>
        </w:rPr>
        <w:lastRenderedPageBreak/>
        <w:t xml:space="preserve">de cada una de las áreas o unidades administrativas del sujeto obligado, por lo que </w:t>
      </w:r>
      <w:r w:rsidR="00F65998">
        <w:rPr>
          <w:rFonts w:cs="Arial"/>
          <w:sz w:val="24"/>
          <w:szCs w:val="24"/>
        </w:rPr>
        <w:t>Contraloría Social emitió el oficio 799/2016 en el cual expone su</w:t>
      </w:r>
      <w:r w:rsidR="007932B2" w:rsidRPr="00CC5C43">
        <w:rPr>
          <w:rFonts w:cs="Arial"/>
          <w:sz w:val="24"/>
          <w:szCs w:val="24"/>
        </w:rPr>
        <w:t xml:space="preserve"> argumentos, fundamentación y motivaciones para que el presente Comité considera y elabore la prueba de daño correspondiente.</w:t>
      </w:r>
    </w:p>
    <w:p w:rsidR="007932B2" w:rsidRPr="00CC5C43" w:rsidRDefault="007932B2" w:rsidP="00906C9C">
      <w:pPr>
        <w:rPr>
          <w:rFonts w:cs="Arial"/>
          <w:sz w:val="24"/>
          <w:szCs w:val="24"/>
        </w:rPr>
      </w:pPr>
    </w:p>
    <w:p w:rsidR="007932B2" w:rsidRPr="00CC5C43" w:rsidRDefault="00F65998" w:rsidP="00906C9C">
      <w:pPr>
        <w:rPr>
          <w:rFonts w:cs="Arial"/>
          <w:sz w:val="24"/>
          <w:szCs w:val="24"/>
        </w:rPr>
      </w:pPr>
      <w:r>
        <w:rPr>
          <w:rFonts w:cs="Arial"/>
          <w:sz w:val="24"/>
          <w:szCs w:val="24"/>
        </w:rPr>
        <w:t>La Contraloría Social argumenta que se está llevando a cabo una investigación en contra de distintos servidores públicos, entre los encausados se encuentra registrado el nombre NERY STEVE CARDONA LOPEZ persona de la cual se sigue participando su participación directa, en hechos considerados como delictivos, en agravio del Representante Legal de una estación abastecedora de Gasolina.</w:t>
      </w:r>
    </w:p>
    <w:p w:rsidR="004D44FC" w:rsidRPr="00CC5C43" w:rsidRDefault="004D44FC" w:rsidP="00906C9C">
      <w:pPr>
        <w:rPr>
          <w:rFonts w:cs="Arial"/>
          <w:sz w:val="24"/>
          <w:szCs w:val="24"/>
        </w:rPr>
      </w:pPr>
    </w:p>
    <w:p w:rsidR="00BB0EF7" w:rsidRDefault="004D44FC" w:rsidP="00906C9C">
      <w:pPr>
        <w:rPr>
          <w:rFonts w:cs="Arial"/>
          <w:sz w:val="24"/>
          <w:szCs w:val="24"/>
        </w:rPr>
      </w:pPr>
      <w:r w:rsidRPr="00CC5C43">
        <w:rPr>
          <w:rFonts w:cs="Arial"/>
          <w:sz w:val="24"/>
          <w:szCs w:val="24"/>
        </w:rPr>
        <w:t xml:space="preserve">El Comité </w:t>
      </w:r>
      <w:r w:rsidR="00BB0EF7">
        <w:rPr>
          <w:rFonts w:cs="Arial"/>
          <w:sz w:val="24"/>
          <w:szCs w:val="24"/>
        </w:rPr>
        <w:t>comenta que la revelación de dicha información se encuentra en los siguientes supuestos:</w:t>
      </w:r>
    </w:p>
    <w:p w:rsidR="00BB0EF7" w:rsidRDefault="00BB0EF7" w:rsidP="00906C9C">
      <w:pPr>
        <w:rPr>
          <w:rFonts w:cs="Arial"/>
          <w:sz w:val="24"/>
          <w:szCs w:val="24"/>
        </w:rPr>
      </w:pPr>
    </w:p>
    <w:p w:rsidR="00BB0EF7" w:rsidRDefault="00BB0EF7" w:rsidP="00906C9C">
      <w:pPr>
        <w:rPr>
          <w:rFonts w:cs="Arial"/>
          <w:sz w:val="24"/>
          <w:szCs w:val="24"/>
        </w:rPr>
      </w:pPr>
      <w:r>
        <w:rPr>
          <w:rFonts w:cs="Arial"/>
          <w:sz w:val="24"/>
          <w:szCs w:val="24"/>
        </w:rPr>
        <w:t>Se trata de un procedimiento de responsabilidad a un servidor público en el cual no se ha dictado una resolución.</w:t>
      </w:r>
    </w:p>
    <w:p w:rsidR="00BB0EF7" w:rsidRDefault="00BB0EF7" w:rsidP="00906C9C">
      <w:pPr>
        <w:rPr>
          <w:rFonts w:cs="Arial"/>
          <w:sz w:val="24"/>
          <w:szCs w:val="24"/>
        </w:rPr>
      </w:pPr>
    </w:p>
    <w:p w:rsidR="004D44FC" w:rsidRPr="00CC5C43" w:rsidRDefault="00BB0EF7" w:rsidP="00906C9C">
      <w:pPr>
        <w:rPr>
          <w:rFonts w:cs="Arial"/>
          <w:sz w:val="24"/>
          <w:szCs w:val="24"/>
        </w:rPr>
      </w:pPr>
      <w:r>
        <w:rPr>
          <w:rFonts w:cs="Arial"/>
          <w:sz w:val="24"/>
          <w:szCs w:val="24"/>
        </w:rPr>
        <w:t>Pone en riesgo la vida, seguridad o salud de cualquier persona.</w:t>
      </w:r>
      <w:r w:rsidR="005A7582" w:rsidRPr="00CC5C43">
        <w:rPr>
          <w:rFonts w:cs="Arial"/>
          <w:sz w:val="24"/>
          <w:szCs w:val="24"/>
        </w:rPr>
        <w:t xml:space="preserve"> </w:t>
      </w:r>
    </w:p>
    <w:p w:rsidR="005A7582" w:rsidRPr="00CC5C43" w:rsidRDefault="005A7582" w:rsidP="00906C9C">
      <w:pPr>
        <w:rPr>
          <w:rFonts w:cs="Arial"/>
          <w:sz w:val="24"/>
          <w:szCs w:val="24"/>
        </w:rPr>
      </w:pPr>
    </w:p>
    <w:p w:rsidR="005A7582" w:rsidRPr="00CC5C43" w:rsidRDefault="005A7582" w:rsidP="00906C9C">
      <w:pPr>
        <w:rPr>
          <w:rFonts w:cs="Arial"/>
          <w:sz w:val="24"/>
          <w:szCs w:val="24"/>
        </w:rPr>
      </w:pPr>
    </w:p>
    <w:p w:rsidR="005A7582" w:rsidRPr="00CC5C43" w:rsidRDefault="005A7582" w:rsidP="00906C9C">
      <w:pPr>
        <w:rPr>
          <w:rFonts w:cs="Arial"/>
          <w:sz w:val="24"/>
          <w:szCs w:val="24"/>
        </w:rPr>
      </w:pPr>
      <w:r w:rsidRPr="00CC5C43">
        <w:rPr>
          <w:rFonts w:cs="Arial"/>
          <w:sz w:val="24"/>
          <w:szCs w:val="24"/>
        </w:rPr>
        <w:t>Finalmente, el Comité propone realizar la prueba de daño correspondiente a lo anteriormente expuesto de conformidad con la legislación aplicable, por</w:t>
      </w:r>
      <w:r w:rsidR="00317350" w:rsidRPr="00CC5C43">
        <w:rPr>
          <w:rFonts w:cs="Arial"/>
          <w:sz w:val="24"/>
          <w:szCs w:val="24"/>
        </w:rPr>
        <w:t xml:space="preserve"> lo que se puso a consideración, resultando en lo siguiente:</w:t>
      </w:r>
    </w:p>
    <w:p w:rsidR="00317350" w:rsidRPr="00CC5C43" w:rsidRDefault="00317350" w:rsidP="00906C9C">
      <w:pPr>
        <w:rPr>
          <w:rFonts w:cs="Arial"/>
          <w:sz w:val="24"/>
          <w:szCs w:val="24"/>
        </w:rPr>
      </w:pPr>
    </w:p>
    <w:p w:rsidR="00317350" w:rsidRPr="00CC5C43" w:rsidRDefault="00317350" w:rsidP="00906C9C">
      <w:pPr>
        <w:rPr>
          <w:rFonts w:cs="Arial"/>
          <w:sz w:val="24"/>
          <w:szCs w:val="24"/>
        </w:rPr>
      </w:pPr>
      <w:r w:rsidRPr="00CC5C43">
        <w:rPr>
          <w:rFonts w:cs="Arial"/>
          <w:sz w:val="24"/>
          <w:szCs w:val="24"/>
        </w:rPr>
        <w:t>ELABORACIÓN DE LA PRUEBA DE DAÑO:</w:t>
      </w:r>
    </w:p>
    <w:p w:rsidR="00317350" w:rsidRPr="00CC5C43" w:rsidRDefault="00317350" w:rsidP="00906C9C">
      <w:pPr>
        <w:rPr>
          <w:rFonts w:cs="Arial"/>
          <w:sz w:val="24"/>
          <w:szCs w:val="24"/>
        </w:rPr>
      </w:pPr>
    </w:p>
    <w:p w:rsidR="00317350" w:rsidRPr="00CC5C43" w:rsidRDefault="00317350" w:rsidP="00317350">
      <w:pPr>
        <w:pStyle w:val="Prrafodelista"/>
        <w:numPr>
          <w:ilvl w:val="0"/>
          <w:numId w:val="5"/>
        </w:numPr>
        <w:rPr>
          <w:rFonts w:ascii="Arial" w:hAnsi="Arial" w:cs="Arial"/>
          <w:sz w:val="24"/>
          <w:szCs w:val="24"/>
        </w:rPr>
      </w:pPr>
      <w:r w:rsidRPr="00CC5C43">
        <w:rPr>
          <w:rFonts w:ascii="Arial" w:hAnsi="Arial" w:cs="Arial"/>
          <w:sz w:val="24"/>
          <w:szCs w:val="24"/>
        </w:rPr>
        <w:t>Prueba de daño:</w:t>
      </w:r>
    </w:p>
    <w:p w:rsidR="00317350" w:rsidRPr="00CC5C43" w:rsidRDefault="00317350" w:rsidP="00317350">
      <w:pPr>
        <w:pStyle w:val="Prrafodelista"/>
        <w:numPr>
          <w:ilvl w:val="0"/>
          <w:numId w:val="6"/>
        </w:numPr>
        <w:rPr>
          <w:rFonts w:ascii="Arial" w:hAnsi="Arial" w:cs="Arial"/>
          <w:sz w:val="24"/>
          <w:szCs w:val="24"/>
        </w:rPr>
      </w:pPr>
      <w:r w:rsidRPr="00CC5C43">
        <w:rPr>
          <w:rFonts w:ascii="Arial" w:hAnsi="Arial" w:cs="Arial"/>
          <w:sz w:val="24"/>
          <w:szCs w:val="24"/>
        </w:rPr>
        <w:t>Hipótesis de reserva que establece la Ley:</w:t>
      </w:r>
    </w:p>
    <w:p w:rsidR="00317350" w:rsidRPr="00CC5C43" w:rsidRDefault="00317350" w:rsidP="00317350">
      <w:pPr>
        <w:pStyle w:val="Prrafodelista"/>
        <w:ind w:left="1440"/>
        <w:rPr>
          <w:rFonts w:ascii="Arial" w:hAnsi="Arial" w:cs="Arial"/>
          <w:sz w:val="24"/>
          <w:szCs w:val="24"/>
        </w:rPr>
      </w:pPr>
      <w:r w:rsidRPr="00CC5C43">
        <w:rPr>
          <w:rFonts w:ascii="Arial" w:hAnsi="Arial" w:cs="Arial"/>
          <w:sz w:val="24"/>
          <w:szCs w:val="24"/>
        </w:rPr>
        <w:t>“Ley de Transparencia y Acceso a la Información Pública del Estado de Jalisco y sus Municipios”</w:t>
      </w:r>
    </w:p>
    <w:p w:rsidR="00317350" w:rsidRPr="00CC5C43" w:rsidRDefault="00317350" w:rsidP="00317350">
      <w:pPr>
        <w:pStyle w:val="Prrafodelista"/>
        <w:ind w:left="1440"/>
        <w:rPr>
          <w:rFonts w:ascii="Arial" w:hAnsi="Arial" w:cs="Arial"/>
          <w:sz w:val="24"/>
          <w:szCs w:val="24"/>
        </w:rPr>
      </w:pPr>
      <w:r w:rsidRPr="00CC5C43">
        <w:rPr>
          <w:rFonts w:ascii="Arial" w:hAnsi="Arial" w:cs="Arial"/>
          <w:sz w:val="24"/>
          <w:szCs w:val="24"/>
        </w:rPr>
        <w:t>Artículo 17. Información reservada- Catálogo</w:t>
      </w:r>
    </w:p>
    <w:p w:rsidR="00317350" w:rsidRPr="00CC5C43" w:rsidRDefault="00317350" w:rsidP="00317350">
      <w:pPr>
        <w:pStyle w:val="Prrafodelista"/>
        <w:numPr>
          <w:ilvl w:val="0"/>
          <w:numId w:val="7"/>
        </w:numPr>
        <w:rPr>
          <w:rFonts w:ascii="Arial" w:hAnsi="Arial" w:cs="Arial"/>
          <w:sz w:val="24"/>
          <w:szCs w:val="24"/>
        </w:rPr>
      </w:pPr>
      <w:r w:rsidRPr="00CC5C43">
        <w:rPr>
          <w:rFonts w:ascii="Arial" w:hAnsi="Arial" w:cs="Arial"/>
          <w:sz w:val="24"/>
          <w:szCs w:val="24"/>
        </w:rPr>
        <w:t>Es información reservada:</w:t>
      </w:r>
    </w:p>
    <w:p w:rsidR="00317350" w:rsidRPr="00CC5C43" w:rsidRDefault="00317350" w:rsidP="00317350">
      <w:pPr>
        <w:pStyle w:val="Prrafodelista"/>
        <w:numPr>
          <w:ilvl w:val="0"/>
          <w:numId w:val="10"/>
        </w:numPr>
        <w:rPr>
          <w:rFonts w:ascii="Arial" w:hAnsi="Arial" w:cs="Arial"/>
          <w:sz w:val="24"/>
          <w:szCs w:val="24"/>
        </w:rPr>
      </w:pPr>
      <w:r w:rsidRPr="00CC5C43">
        <w:rPr>
          <w:rFonts w:ascii="Arial" w:hAnsi="Arial" w:cs="Arial"/>
          <w:sz w:val="24"/>
          <w:szCs w:val="24"/>
        </w:rPr>
        <w:t>Aquella información pública, cuya difusión:…</w:t>
      </w:r>
    </w:p>
    <w:p w:rsidR="00BB0EF7" w:rsidRDefault="00BB0EF7" w:rsidP="00317350">
      <w:pPr>
        <w:pStyle w:val="Prrafodelista"/>
        <w:ind w:left="2520"/>
        <w:rPr>
          <w:rFonts w:ascii="Arial" w:hAnsi="Arial" w:cs="Arial"/>
          <w:sz w:val="24"/>
          <w:szCs w:val="24"/>
        </w:rPr>
      </w:pPr>
      <w:r>
        <w:rPr>
          <w:rFonts w:ascii="Arial" w:hAnsi="Arial" w:cs="Arial"/>
          <w:sz w:val="24"/>
          <w:szCs w:val="24"/>
        </w:rPr>
        <w:t>c) Ponga en riesgo la vida, seguridad o salud de cualquier persona;</w:t>
      </w:r>
    </w:p>
    <w:p w:rsidR="00317350" w:rsidRDefault="00BB0EF7" w:rsidP="00BB0EF7">
      <w:pPr>
        <w:ind w:left="2520" w:hanging="774"/>
        <w:rPr>
          <w:rFonts w:cs="Arial"/>
          <w:sz w:val="24"/>
          <w:szCs w:val="24"/>
        </w:rPr>
      </w:pPr>
      <w:r>
        <w:rPr>
          <w:rFonts w:cs="Arial"/>
          <w:sz w:val="24"/>
          <w:szCs w:val="24"/>
        </w:rPr>
        <w:t xml:space="preserve">V. </w:t>
      </w:r>
      <w:r>
        <w:rPr>
          <w:rFonts w:cs="Arial"/>
          <w:sz w:val="24"/>
          <w:szCs w:val="24"/>
        </w:rPr>
        <w:tab/>
        <w:t xml:space="preserve"> Los procedimientos de responsabilidad de los servidores públicos, en tanto no se dicte resolución administrativa o la jurisdiccional definitiva;</w:t>
      </w:r>
      <w:r w:rsidR="00317350" w:rsidRPr="00BB0EF7">
        <w:rPr>
          <w:rFonts w:cs="Arial"/>
          <w:sz w:val="24"/>
          <w:szCs w:val="24"/>
        </w:rPr>
        <w:t>…”</w:t>
      </w:r>
    </w:p>
    <w:p w:rsidR="00BB0EF7" w:rsidRPr="00BB0EF7" w:rsidRDefault="00BB0EF7" w:rsidP="00BB0EF7">
      <w:pPr>
        <w:ind w:left="2520" w:hanging="774"/>
        <w:rPr>
          <w:rFonts w:cs="Arial"/>
          <w:sz w:val="24"/>
          <w:szCs w:val="24"/>
        </w:rPr>
      </w:pPr>
    </w:p>
    <w:p w:rsidR="001746CB" w:rsidRPr="00CC5C43" w:rsidRDefault="00317350" w:rsidP="00317350">
      <w:pPr>
        <w:ind w:firstLine="708"/>
        <w:rPr>
          <w:rFonts w:cs="Arial"/>
          <w:sz w:val="24"/>
          <w:szCs w:val="24"/>
        </w:rPr>
      </w:pPr>
      <w:r w:rsidRPr="00CC5C43">
        <w:rPr>
          <w:rFonts w:cs="Arial"/>
          <w:sz w:val="24"/>
          <w:szCs w:val="24"/>
        </w:rPr>
        <w:t>II-</w:t>
      </w:r>
      <w:r w:rsidRPr="00CC5C43">
        <w:rPr>
          <w:rFonts w:cs="Arial"/>
          <w:sz w:val="24"/>
          <w:szCs w:val="24"/>
        </w:rPr>
        <w:tab/>
        <w:t xml:space="preserve">Perjuicios al interés público protegido por la ley que causa la revelación de la información: La divulgación de esta información previa </w:t>
      </w:r>
      <w:r w:rsidR="00BB0EF7">
        <w:rPr>
          <w:rFonts w:cs="Arial"/>
          <w:sz w:val="24"/>
          <w:szCs w:val="24"/>
        </w:rPr>
        <w:t xml:space="preserve">a que se dicte resolución entorpece la investigación de la participación directa de un servidor público en hechos considerados como delictivos. </w:t>
      </w:r>
    </w:p>
    <w:p w:rsidR="001746CB" w:rsidRPr="00CC5C43" w:rsidRDefault="001746CB" w:rsidP="00317350">
      <w:pPr>
        <w:ind w:firstLine="708"/>
        <w:rPr>
          <w:rFonts w:cs="Arial"/>
          <w:sz w:val="24"/>
          <w:szCs w:val="24"/>
        </w:rPr>
      </w:pPr>
    </w:p>
    <w:p w:rsidR="00317350" w:rsidRPr="00CC5C43" w:rsidRDefault="001746CB" w:rsidP="00174874">
      <w:pPr>
        <w:ind w:firstLine="708"/>
        <w:rPr>
          <w:rFonts w:cs="Arial"/>
          <w:sz w:val="24"/>
          <w:szCs w:val="24"/>
        </w:rPr>
      </w:pPr>
      <w:r w:rsidRPr="00CC5C43">
        <w:rPr>
          <w:rFonts w:cs="Arial"/>
          <w:sz w:val="24"/>
          <w:szCs w:val="24"/>
        </w:rPr>
        <w:t xml:space="preserve">III. ¿Por qué el daño de su divulgación es mayor al interés público de conocer dicha información? </w:t>
      </w:r>
      <w:r w:rsidR="0056246D">
        <w:rPr>
          <w:rFonts w:cs="Arial"/>
          <w:sz w:val="24"/>
          <w:szCs w:val="24"/>
        </w:rPr>
        <w:t>El</w:t>
      </w:r>
      <w:r w:rsidR="00DE7C69" w:rsidRPr="00CC5C43">
        <w:rPr>
          <w:rFonts w:cs="Arial"/>
          <w:sz w:val="24"/>
          <w:szCs w:val="24"/>
        </w:rPr>
        <w:t xml:space="preserve"> </w:t>
      </w:r>
      <w:r w:rsidR="0056246D">
        <w:rPr>
          <w:rFonts w:cs="Arial"/>
          <w:sz w:val="24"/>
          <w:szCs w:val="24"/>
        </w:rPr>
        <w:t xml:space="preserve">daño de la </w:t>
      </w:r>
      <w:r w:rsidR="00DE7C69" w:rsidRPr="00CC5C43">
        <w:rPr>
          <w:rFonts w:cs="Arial"/>
          <w:sz w:val="24"/>
          <w:szCs w:val="24"/>
        </w:rPr>
        <w:t xml:space="preserve">divulgación de la información contenida </w:t>
      </w:r>
      <w:r w:rsidR="00BB0EF7">
        <w:rPr>
          <w:rFonts w:cs="Arial"/>
          <w:sz w:val="24"/>
          <w:szCs w:val="24"/>
        </w:rPr>
        <w:t xml:space="preserve">el expediente de investigación </w:t>
      </w:r>
      <w:r w:rsidR="0056246D">
        <w:rPr>
          <w:rFonts w:cs="Arial"/>
          <w:sz w:val="24"/>
          <w:szCs w:val="24"/>
        </w:rPr>
        <w:t>de manera previa a su resolución es mayor al interés público ya que en caso de entorpecerse el procedimiento se corre el riesgo de que en caso de que se resuelva positiva o negativamente para el servidor público se pierda la objetividad que debería de llevar el procedimiento, causando incluso una afectación o beneficio no justo a la parte denunciante.</w:t>
      </w:r>
    </w:p>
    <w:p w:rsidR="00DE7C69" w:rsidRPr="00CC5C43" w:rsidRDefault="00DE7C69" w:rsidP="00174874">
      <w:pPr>
        <w:ind w:firstLine="708"/>
        <w:rPr>
          <w:rFonts w:cs="Arial"/>
          <w:sz w:val="24"/>
          <w:szCs w:val="24"/>
        </w:rPr>
      </w:pPr>
    </w:p>
    <w:p w:rsidR="00DE7C69" w:rsidRPr="00CC5C43" w:rsidRDefault="00DE7C69" w:rsidP="00174874">
      <w:pPr>
        <w:ind w:firstLine="708"/>
        <w:rPr>
          <w:rFonts w:cs="Arial"/>
          <w:sz w:val="24"/>
          <w:szCs w:val="24"/>
        </w:rPr>
      </w:pPr>
      <w:r w:rsidRPr="00CC5C43">
        <w:rPr>
          <w:rFonts w:cs="Arial"/>
          <w:sz w:val="24"/>
          <w:szCs w:val="24"/>
        </w:rPr>
        <w:t>IV. Principio de proporcionalidad. La limitación se adecua al principio de proporcionalidad y representa el medio menos restrictivo posible para evitar en lo posible el perjuicio al solicitante, ya que el periodo de reserva sólo se ajustará al</w:t>
      </w:r>
      <w:r w:rsidR="0056246D">
        <w:rPr>
          <w:rFonts w:cs="Arial"/>
          <w:sz w:val="24"/>
          <w:szCs w:val="24"/>
        </w:rPr>
        <w:t xml:space="preserve"> tiempo en el que la Contraloría Social dicte resolución al procedimiento.</w:t>
      </w:r>
    </w:p>
    <w:p w:rsidR="00DE7C69" w:rsidRPr="00CC5C43" w:rsidRDefault="00DE7C69" w:rsidP="00174874">
      <w:pPr>
        <w:ind w:firstLine="708"/>
        <w:rPr>
          <w:rFonts w:cs="Arial"/>
          <w:sz w:val="24"/>
          <w:szCs w:val="24"/>
        </w:rPr>
      </w:pPr>
    </w:p>
    <w:p w:rsidR="00DE7C69" w:rsidRPr="00CC5C43" w:rsidRDefault="0056246D" w:rsidP="00174874">
      <w:pPr>
        <w:ind w:firstLine="708"/>
        <w:rPr>
          <w:rFonts w:cs="Arial"/>
          <w:sz w:val="24"/>
          <w:szCs w:val="24"/>
        </w:rPr>
      </w:pPr>
      <w:r>
        <w:rPr>
          <w:rFonts w:cs="Arial"/>
          <w:sz w:val="24"/>
          <w:szCs w:val="24"/>
        </w:rPr>
        <w:lastRenderedPageBreak/>
        <w:t>DESARROLLO DE CONFORM</w:t>
      </w:r>
      <w:r w:rsidR="00DE7C69" w:rsidRPr="00CC5C43">
        <w:rPr>
          <w:rFonts w:cs="Arial"/>
          <w:sz w:val="24"/>
          <w:szCs w:val="24"/>
        </w:rPr>
        <w:t xml:space="preserve">IDAD CON EL LINEAMIENTO DÉCIMO SEGUNDO DE LOS </w:t>
      </w:r>
      <w:r w:rsidR="00107FE3" w:rsidRPr="00CC5C43">
        <w:rPr>
          <w:rFonts w:cs="Arial"/>
          <w:sz w:val="24"/>
          <w:szCs w:val="24"/>
        </w:rPr>
        <w:t>LINEAMIENTOS GENERALES EN MATERIA DE CLASIFICACIÓN DE INFORMACIÓN PÚBLICA</w:t>
      </w:r>
    </w:p>
    <w:p w:rsidR="00107FE3" w:rsidRPr="00CC5C43" w:rsidRDefault="00107FE3" w:rsidP="00174874">
      <w:pPr>
        <w:ind w:firstLine="708"/>
        <w:rPr>
          <w:rFonts w:cs="Arial"/>
          <w:sz w:val="24"/>
          <w:szCs w:val="24"/>
        </w:rPr>
      </w:pP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El nombre del sujeto obligado: Ayuntamiento de Puerto Vallarta, Jalisco.</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 xml:space="preserve">El área generadora de la información y/o de quien la tenga en su poder: </w:t>
      </w:r>
      <w:r w:rsidR="0056246D">
        <w:rPr>
          <w:rFonts w:ascii="Arial" w:hAnsi="Arial" w:cs="Arial"/>
          <w:sz w:val="24"/>
          <w:szCs w:val="24"/>
        </w:rPr>
        <w:t>Contraloría Social</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La fecha del acta y el número de acuerdo que se actualiza: No exista acta ni acuerdo previo.</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Los criterios de clasificación de información aplicables: Los Lineamientos Generales en Materia de Clasificación de Información Pública emitidos por el Instituto, los cuales aún se encuentran vigentes.</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El fundamento legal y la motivación:</w:t>
      </w:r>
    </w:p>
    <w:p w:rsidR="00107FE3" w:rsidRPr="00CC5C43" w:rsidRDefault="00107FE3" w:rsidP="00174874">
      <w:pPr>
        <w:pStyle w:val="Prrafodelista"/>
        <w:ind w:left="1428"/>
        <w:jc w:val="both"/>
        <w:rPr>
          <w:rFonts w:ascii="Arial" w:hAnsi="Arial" w:cs="Arial"/>
          <w:sz w:val="24"/>
          <w:szCs w:val="24"/>
        </w:rPr>
      </w:pPr>
      <w:r w:rsidRPr="00CC5C43">
        <w:rPr>
          <w:rFonts w:ascii="Arial" w:hAnsi="Arial" w:cs="Arial"/>
          <w:sz w:val="24"/>
          <w:szCs w:val="24"/>
        </w:rPr>
        <w:t>El anter</w:t>
      </w:r>
      <w:r w:rsidR="0056246D">
        <w:rPr>
          <w:rFonts w:ascii="Arial" w:hAnsi="Arial" w:cs="Arial"/>
          <w:sz w:val="24"/>
          <w:szCs w:val="24"/>
        </w:rPr>
        <w:t>iormente citado Artículo 17.1. c</w:t>
      </w:r>
      <w:r w:rsidRPr="00CC5C43">
        <w:rPr>
          <w:rFonts w:ascii="Arial" w:hAnsi="Arial" w:cs="Arial"/>
          <w:sz w:val="24"/>
          <w:szCs w:val="24"/>
        </w:rPr>
        <w:t>)</w:t>
      </w:r>
      <w:r w:rsidR="0056246D">
        <w:rPr>
          <w:rFonts w:ascii="Arial" w:hAnsi="Arial" w:cs="Arial"/>
          <w:sz w:val="24"/>
          <w:szCs w:val="24"/>
        </w:rPr>
        <w:t xml:space="preserve"> y Fracción V</w:t>
      </w:r>
      <w:r w:rsidRPr="00CC5C43">
        <w:rPr>
          <w:rFonts w:ascii="Arial" w:hAnsi="Arial" w:cs="Arial"/>
          <w:sz w:val="24"/>
          <w:szCs w:val="24"/>
        </w:rPr>
        <w:t xml:space="preserve"> de la Ley de Transparencia y Acceso a la Información Pública del Estado de Jalisco y sus Municipios.</w:t>
      </w:r>
    </w:p>
    <w:p w:rsidR="00107FE3" w:rsidRPr="00CC5C43" w:rsidRDefault="00107FE3" w:rsidP="00174874">
      <w:pPr>
        <w:pStyle w:val="Prrafodelista"/>
        <w:ind w:left="1428"/>
        <w:jc w:val="both"/>
        <w:rPr>
          <w:rFonts w:ascii="Arial" w:hAnsi="Arial" w:cs="Arial"/>
          <w:sz w:val="24"/>
          <w:szCs w:val="24"/>
        </w:rPr>
      </w:pPr>
    </w:p>
    <w:p w:rsidR="00107FE3" w:rsidRPr="00CC5C43" w:rsidRDefault="00107FE3" w:rsidP="00174874">
      <w:pPr>
        <w:pStyle w:val="Prrafodelista"/>
        <w:ind w:left="1428"/>
        <w:jc w:val="both"/>
        <w:rPr>
          <w:rFonts w:ascii="Arial" w:hAnsi="Arial" w:cs="Arial"/>
          <w:sz w:val="24"/>
          <w:szCs w:val="24"/>
        </w:rPr>
      </w:pPr>
      <w:r w:rsidRPr="00CC5C43">
        <w:rPr>
          <w:rFonts w:ascii="Arial" w:hAnsi="Arial" w:cs="Arial"/>
          <w:sz w:val="24"/>
          <w:szCs w:val="24"/>
        </w:rPr>
        <w:t xml:space="preserve">MOTIVACIÓN.- </w:t>
      </w:r>
      <w:r w:rsidR="00174874" w:rsidRPr="00CC5C43">
        <w:rPr>
          <w:rFonts w:ascii="Arial" w:hAnsi="Arial" w:cs="Arial"/>
          <w:sz w:val="24"/>
          <w:szCs w:val="24"/>
        </w:rPr>
        <w:t xml:space="preserve"> La divulgación de la información contenida en el convenio señalado provoca un riesgo que supera al interés público de conocer la información, ya que </w:t>
      </w:r>
      <w:r w:rsidR="0056246D">
        <w:rPr>
          <w:rFonts w:ascii="Arial" w:hAnsi="Arial" w:cs="Arial"/>
          <w:sz w:val="24"/>
          <w:szCs w:val="24"/>
        </w:rPr>
        <w:t xml:space="preserve">la revelación de la información previa a su resolución pone en riesgo el mismo procedimiento por la posibilidad de ser entorpecido, así como </w:t>
      </w:r>
      <w:r w:rsidR="00300D88">
        <w:rPr>
          <w:rFonts w:ascii="Arial" w:hAnsi="Arial" w:cs="Arial"/>
          <w:sz w:val="24"/>
          <w:szCs w:val="24"/>
        </w:rPr>
        <w:t>la posible agresión, acoso o inseguridad de la parte denunciante.</w:t>
      </w:r>
    </w:p>
    <w:p w:rsidR="00174874" w:rsidRPr="00CC5C43" w:rsidRDefault="00174874" w:rsidP="00174874">
      <w:pPr>
        <w:pStyle w:val="Prrafodelista"/>
        <w:ind w:left="1428"/>
        <w:jc w:val="both"/>
        <w:rPr>
          <w:rFonts w:ascii="Arial" w:hAnsi="Arial" w:cs="Arial"/>
          <w:sz w:val="24"/>
          <w:szCs w:val="24"/>
        </w:rPr>
      </w:pPr>
    </w:p>
    <w:p w:rsidR="00174874" w:rsidRPr="00CC5C43" w:rsidRDefault="00174874" w:rsidP="00174874">
      <w:pPr>
        <w:pStyle w:val="Prrafodelista"/>
        <w:numPr>
          <w:ilvl w:val="0"/>
          <w:numId w:val="11"/>
        </w:numPr>
        <w:jc w:val="both"/>
        <w:rPr>
          <w:rFonts w:ascii="Arial" w:hAnsi="Arial" w:cs="Arial"/>
          <w:sz w:val="24"/>
          <w:szCs w:val="24"/>
        </w:rPr>
      </w:pPr>
      <w:r w:rsidRPr="00CC5C43">
        <w:rPr>
          <w:rFonts w:ascii="Arial" w:hAnsi="Arial" w:cs="Arial"/>
          <w:sz w:val="24"/>
          <w:szCs w:val="24"/>
        </w:rPr>
        <w:t xml:space="preserve">El carácter de reservada y/o confidencial, indicando, en su caso, las partes o páginas del documento en el que consten: el </w:t>
      </w:r>
      <w:r w:rsidR="00300D88">
        <w:rPr>
          <w:rFonts w:ascii="Arial" w:hAnsi="Arial" w:cs="Arial"/>
          <w:sz w:val="24"/>
          <w:szCs w:val="24"/>
        </w:rPr>
        <w:t xml:space="preserve">expediente del procedimiento instaurado al servidor público Nery Steve Cardona </w:t>
      </w:r>
      <w:proofErr w:type="spellStart"/>
      <w:r w:rsidR="00300D88">
        <w:rPr>
          <w:rFonts w:ascii="Arial" w:hAnsi="Arial" w:cs="Arial"/>
          <w:sz w:val="24"/>
          <w:szCs w:val="24"/>
        </w:rPr>
        <w:t>Lopez</w:t>
      </w:r>
      <w:proofErr w:type="spellEnd"/>
      <w:r w:rsidRPr="00CC5C43">
        <w:rPr>
          <w:rFonts w:ascii="Arial" w:hAnsi="Arial" w:cs="Arial"/>
          <w:sz w:val="24"/>
          <w:szCs w:val="24"/>
        </w:rPr>
        <w:t xml:space="preserve"> en su totalidad.</w:t>
      </w:r>
    </w:p>
    <w:p w:rsidR="00174874" w:rsidRPr="00CC5C43" w:rsidRDefault="00174874" w:rsidP="00174874">
      <w:pPr>
        <w:pStyle w:val="Prrafodelista"/>
        <w:numPr>
          <w:ilvl w:val="0"/>
          <w:numId w:val="11"/>
        </w:numPr>
        <w:jc w:val="both"/>
        <w:rPr>
          <w:rFonts w:ascii="Arial" w:hAnsi="Arial" w:cs="Arial"/>
          <w:sz w:val="24"/>
          <w:szCs w:val="24"/>
        </w:rPr>
      </w:pPr>
      <w:r w:rsidRPr="00CC5C43">
        <w:rPr>
          <w:rFonts w:ascii="Arial" w:hAnsi="Arial" w:cs="Arial"/>
          <w:sz w:val="24"/>
          <w:szCs w:val="24"/>
        </w:rPr>
        <w:t>La precisión del plazo de reserva, así como su fecha de inicio, debiendo motivar el mismo: La reserva inicia a la fecha de la firma de la presente a</w:t>
      </w:r>
      <w:r w:rsidR="00300D88">
        <w:rPr>
          <w:rFonts w:ascii="Arial" w:hAnsi="Arial" w:cs="Arial"/>
          <w:sz w:val="24"/>
          <w:szCs w:val="24"/>
        </w:rPr>
        <w:t>cta y continuará por un año.</w:t>
      </w:r>
    </w:p>
    <w:p w:rsidR="00174874" w:rsidRPr="00CC5C43" w:rsidRDefault="00174874" w:rsidP="00174874">
      <w:pPr>
        <w:pStyle w:val="Prrafodelista"/>
        <w:numPr>
          <w:ilvl w:val="0"/>
          <w:numId w:val="11"/>
        </w:numPr>
        <w:jc w:val="both"/>
        <w:rPr>
          <w:rFonts w:ascii="Arial" w:hAnsi="Arial" w:cs="Arial"/>
          <w:sz w:val="24"/>
          <w:szCs w:val="24"/>
        </w:rPr>
      </w:pPr>
      <w:r w:rsidRPr="00CC5C43">
        <w:rPr>
          <w:rFonts w:ascii="Arial" w:hAnsi="Arial" w:cs="Arial"/>
          <w:sz w:val="24"/>
          <w:szCs w:val="24"/>
        </w:rPr>
        <w:t>La previsión del plazo de confidencialidad, así como su fecha de inicio debiendo motivar el mismo: No aplica en la presente.</w:t>
      </w:r>
    </w:p>
    <w:p w:rsidR="007D7F36" w:rsidRDefault="007D7F36" w:rsidP="007D7F36">
      <w:pPr>
        <w:rPr>
          <w:rFonts w:cs="Arial"/>
          <w:sz w:val="24"/>
          <w:szCs w:val="24"/>
        </w:rPr>
      </w:pPr>
    </w:p>
    <w:p w:rsidR="007D7F36" w:rsidRDefault="007D7F36" w:rsidP="007D7F36">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w:t>
      </w:r>
      <w:r>
        <w:rPr>
          <w:rFonts w:cs="Arial"/>
          <w:sz w:val="24"/>
          <w:szCs w:val="24"/>
        </w:rPr>
        <w:t xml:space="preserve"> reserva estudiada</w:t>
      </w:r>
      <w:r w:rsidRPr="002A1A49">
        <w:rPr>
          <w:rFonts w:cs="Arial"/>
          <w:sz w:val="24"/>
          <w:szCs w:val="24"/>
        </w:rPr>
        <w:t>. Con 3 tres votos a favor y 0 cero en cont</w:t>
      </w:r>
      <w:r>
        <w:rPr>
          <w:rFonts w:cs="Arial"/>
          <w:sz w:val="24"/>
          <w:szCs w:val="24"/>
        </w:rPr>
        <w:t>ra se aprueban la reserva de información.</w:t>
      </w:r>
    </w:p>
    <w:p w:rsidR="007D7F36" w:rsidRPr="007D7F36" w:rsidRDefault="007D7F36" w:rsidP="007D7F36">
      <w:pPr>
        <w:rPr>
          <w:rFonts w:cs="Arial"/>
          <w:sz w:val="24"/>
          <w:szCs w:val="24"/>
        </w:rPr>
      </w:pPr>
    </w:p>
    <w:p w:rsidR="00165653" w:rsidRPr="002A1A49" w:rsidRDefault="00165653" w:rsidP="002A1A49">
      <w:pPr>
        <w:rPr>
          <w:rFonts w:cs="Arial"/>
          <w:sz w:val="24"/>
          <w:szCs w:val="24"/>
        </w:rPr>
      </w:pPr>
    </w:p>
    <w:p w:rsidR="00F057F7" w:rsidRDefault="00906C9C" w:rsidP="002A1A49">
      <w:pPr>
        <w:rPr>
          <w:rFonts w:cs="Arial"/>
          <w:sz w:val="24"/>
          <w:szCs w:val="24"/>
        </w:rPr>
      </w:pPr>
      <w:r>
        <w:rPr>
          <w:rFonts w:cs="Arial"/>
          <w:b/>
          <w:sz w:val="24"/>
          <w:szCs w:val="24"/>
        </w:rPr>
        <w:t>4</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6E3B3C" w:rsidRPr="00D77A58" w:rsidTr="00F3022A">
        <w:tc>
          <w:tcPr>
            <w:tcW w:w="1417" w:type="dxa"/>
          </w:tcPr>
          <w:p w:rsidR="00F3022A" w:rsidRDefault="009E247E" w:rsidP="008D76C6">
            <w:pPr>
              <w:rPr>
                <w:rFonts w:cs="Arial"/>
                <w:sz w:val="18"/>
                <w:szCs w:val="18"/>
              </w:rPr>
            </w:pPr>
            <w:r>
              <w:rPr>
                <w:rFonts w:cs="Arial"/>
                <w:sz w:val="18"/>
                <w:szCs w:val="18"/>
              </w:rPr>
              <w:t>813/2016</w:t>
            </w:r>
          </w:p>
        </w:tc>
        <w:tc>
          <w:tcPr>
            <w:tcW w:w="3653" w:type="dxa"/>
          </w:tcPr>
          <w:p w:rsidR="00E96BD0" w:rsidRPr="00E96BD0" w:rsidRDefault="00E96BD0" w:rsidP="00E96BD0">
            <w:pPr>
              <w:rPr>
                <w:rFonts w:cs="Arial"/>
                <w:sz w:val="18"/>
                <w:szCs w:val="18"/>
              </w:rPr>
            </w:pPr>
            <w:r w:rsidRPr="00E96BD0">
              <w:rPr>
                <w:rFonts w:cs="Arial"/>
                <w:sz w:val="18"/>
                <w:szCs w:val="18"/>
              </w:rPr>
              <w:t xml:space="preserve">Dentro del procedimiento </w:t>
            </w:r>
            <w:proofErr w:type="spellStart"/>
            <w:r w:rsidRPr="00E96BD0">
              <w:rPr>
                <w:rFonts w:cs="Arial"/>
                <w:sz w:val="18"/>
                <w:szCs w:val="18"/>
              </w:rPr>
              <w:t>numero</w:t>
            </w:r>
            <w:proofErr w:type="spellEnd"/>
            <w:r w:rsidRPr="00E96BD0">
              <w:rPr>
                <w:rFonts w:cs="Arial"/>
                <w:sz w:val="18"/>
                <w:szCs w:val="18"/>
              </w:rPr>
              <w:t xml:space="preserve"> del cual no fui informado y que se instauro en mi contra, siendo resulto el día 26 de agosto </w:t>
            </w:r>
            <w:r w:rsidRPr="00E96BD0">
              <w:rPr>
                <w:rFonts w:cs="Arial"/>
                <w:sz w:val="18"/>
                <w:szCs w:val="18"/>
              </w:rPr>
              <w:lastRenderedPageBreak/>
              <w:t xml:space="preserve">del año en curso, de la manera </w:t>
            </w:r>
            <w:proofErr w:type="spellStart"/>
            <w:r w:rsidRPr="00E96BD0">
              <w:rPr>
                <w:rFonts w:cs="Arial"/>
                <w:sz w:val="18"/>
                <w:szCs w:val="18"/>
              </w:rPr>
              <w:t>mas</w:t>
            </w:r>
            <w:proofErr w:type="spellEnd"/>
            <w:r w:rsidRPr="00E96BD0">
              <w:rPr>
                <w:rFonts w:cs="Arial"/>
                <w:sz w:val="18"/>
                <w:szCs w:val="18"/>
              </w:rPr>
              <w:t xml:space="preserve"> atenta y respetuosa le.</w:t>
            </w:r>
          </w:p>
          <w:p w:rsidR="00E96BD0" w:rsidRPr="00E96BD0" w:rsidRDefault="00E96BD0" w:rsidP="00E96BD0">
            <w:pPr>
              <w:rPr>
                <w:rFonts w:cs="Arial"/>
                <w:sz w:val="18"/>
                <w:szCs w:val="18"/>
              </w:rPr>
            </w:pPr>
            <w:r w:rsidRPr="00E96BD0">
              <w:rPr>
                <w:rFonts w:cs="Arial"/>
                <w:sz w:val="18"/>
                <w:szCs w:val="18"/>
              </w:rPr>
              <w:t>SOLICITO:</w:t>
            </w:r>
          </w:p>
          <w:p w:rsidR="006E3B3C" w:rsidRPr="006F0D61" w:rsidRDefault="00E96BD0" w:rsidP="00E96BD0">
            <w:pPr>
              <w:rPr>
                <w:rFonts w:cs="Arial"/>
                <w:sz w:val="18"/>
                <w:szCs w:val="18"/>
              </w:rPr>
            </w:pPr>
            <w:r w:rsidRPr="00E96BD0">
              <w:rPr>
                <w:rFonts w:cs="Arial"/>
                <w:sz w:val="18"/>
                <w:szCs w:val="18"/>
              </w:rPr>
              <w:t>Con fundamento en lo dispuesto por el artículo OCTAVO CONSTITUCIONAL le solicito que de ser posible este mismo día me expida copias simples de todo lo actuado en dicho procedimiento a que me refiero para promover mi defensa ante los tribunales que correspondan</w:t>
            </w:r>
          </w:p>
        </w:tc>
        <w:tc>
          <w:tcPr>
            <w:tcW w:w="2907" w:type="dxa"/>
          </w:tcPr>
          <w:p w:rsidR="006E3B3C" w:rsidRPr="00D77A58" w:rsidRDefault="009E247E" w:rsidP="003716F4">
            <w:pPr>
              <w:rPr>
                <w:rFonts w:cs="Arial"/>
                <w:sz w:val="18"/>
                <w:szCs w:val="18"/>
              </w:rPr>
            </w:pPr>
            <w:r>
              <w:rPr>
                <w:rFonts w:cs="Arial"/>
                <w:sz w:val="18"/>
                <w:szCs w:val="18"/>
              </w:rPr>
              <w:lastRenderedPageBreak/>
              <w:t>La información tiene carácter reservado por un año de duración por lo que es procedente negar al solicitante</w:t>
            </w:r>
            <w:r w:rsidRPr="00D77A58">
              <w:rPr>
                <w:rFonts w:cs="Arial"/>
                <w:sz w:val="18"/>
                <w:szCs w:val="18"/>
              </w:rPr>
              <w:t xml:space="preserve">. Notifíquese al </w:t>
            </w:r>
            <w:r w:rsidRPr="00D77A58">
              <w:rPr>
                <w:rFonts w:cs="Arial"/>
                <w:sz w:val="18"/>
                <w:szCs w:val="18"/>
              </w:rPr>
              <w:lastRenderedPageBreak/>
              <w:t>solicitante en los términos del Artículo 86 Bis punto 4 de la Ley de Transparencia y Acceso a la Información Pública del Estado de Jalisco y sus Municipios</w:t>
            </w:r>
          </w:p>
        </w:tc>
      </w:tr>
      <w:tr w:rsidR="004D58E2" w:rsidRPr="00D77A58" w:rsidTr="00F3022A">
        <w:tc>
          <w:tcPr>
            <w:tcW w:w="1417" w:type="dxa"/>
          </w:tcPr>
          <w:p w:rsidR="004D58E2" w:rsidRDefault="009E247E" w:rsidP="004D58E2">
            <w:pPr>
              <w:rPr>
                <w:rFonts w:cs="Arial"/>
                <w:sz w:val="18"/>
                <w:szCs w:val="18"/>
              </w:rPr>
            </w:pPr>
            <w:r>
              <w:rPr>
                <w:rFonts w:cs="Arial"/>
                <w:sz w:val="18"/>
                <w:szCs w:val="18"/>
              </w:rPr>
              <w:lastRenderedPageBreak/>
              <w:t>815</w:t>
            </w:r>
            <w:r w:rsidR="004D58E2">
              <w:rPr>
                <w:rFonts w:cs="Arial"/>
                <w:sz w:val="18"/>
                <w:szCs w:val="18"/>
              </w:rPr>
              <w:t>/2016</w:t>
            </w:r>
          </w:p>
        </w:tc>
        <w:tc>
          <w:tcPr>
            <w:tcW w:w="3653" w:type="dxa"/>
          </w:tcPr>
          <w:p w:rsidR="004D58E2" w:rsidRPr="00F3022A" w:rsidRDefault="00F837A4" w:rsidP="004D58E2">
            <w:pPr>
              <w:rPr>
                <w:rFonts w:cs="Arial"/>
                <w:sz w:val="18"/>
                <w:szCs w:val="18"/>
              </w:rPr>
            </w:pPr>
            <w:r>
              <w:rPr>
                <w:rFonts w:cs="Arial"/>
                <w:sz w:val="18"/>
                <w:szCs w:val="18"/>
              </w:rPr>
              <w:t>L</w:t>
            </w:r>
            <w:r w:rsidRPr="00F837A4">
              <w:rPr>
                <w:rFonts w:cs="Arial"/>
                <w:sz w:val="18"/>
                <w:szCs w:val="18"/>
              </w:rPr>
              <w:t xml:space="preserve">a respuesta al acuerdo </w:t>
            </w:r>
            <w:proofErr w:type="spellStart"/>
            <w:r w:rsidRPr="00F837A4">
              <w:rPr>
                <w:rFonts w:cs="Arial"/>
                <w:sz w:val="18"/>
                <w:szCs w:val="18"/>
              </w:rPr>
              <w:t>numero</w:t>
            </w:r>
            <w:proofErr w:type="spellEnd"/>
            <w:r w:rsidRPr="00F837A4">
              <w:rPr>
                <w:rFonts w:cs="Arial"/>
                <w:sz w:val="18"/>
                <w:szCs w:val="18"/>
              </w:rPr>
              <w:t xml:space="preserve"> 0179/2013 (1 hoja) mismo que se adjunta en donde la Representante de la junta vecinal del centro ELSA NOEMI Ruiz BERNAL, solicita que se le </w:t>
            </w:r>
            <w:proofErr w:type="spellStart"/>
            <w:r w:rsidRPr="00F837A4">
              <w:rPr>
                <w:rFonts w:cs="Arial"/>
                <w:sz w:val="18"/>
                <w:szCs w:val="18"/>
              </w:rPr>
              <w:t>de</w:t>
            </w:r>
            <w:proofErr w:type="spellEnd"/>
            <w:r w:rsidRPr="00F837A4">
              <w:rPr>
                <w:rFonts w:cs="Arial"/>
                <w:sz w:val="18"/>
                <w:szCs w:val="18"/>
              </w:rPr>
              <w:t xml:space="preserve"> respuesta a cada uno de los temas</w:t>
            </w:r>
          </w:p>
        </w:tc>
        <w:tc>
          <w:tcPr>
            <w:tcW w:w="2907" w:type="dxa"/>
          </w:tcPr>
          <w:p w:rsidR="004D58E2" w:rsidRPr="00D77A58" w:rsidRDefault="004D58E2"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58E2" w:rsidRPr="00D77A58" w:rsidTr="00F3022A">
        <w:tc>
          <w:tcPr>
            <w:tcW w:w="1417" w:type="dxa"/>
          </w:tcPr>
          <w:p w:rsidR="004D58E2" w:rsidRDefault="009E247E" w:rsidP="004D58E2">
            <w:pPr>
              <w:rPr>
                <w:rFonts w:cs="Arial"/>
                <w:sz w:val="18"/>
                <w:szCs w:val="18"/>
              </w:rPr>
            </w:pPr>
            <w:r>
              <w:rPr>
                <w:rFonts w:cs="Arial"/>
                <w:sz w:val="18"/>
                <w:szCs w:val="18"/>
              </w:rPr>
              <w:t>818</w:t>
            </w:r>
            <w:r w:rsidR="004D58E2">
              <w:rPr>
                <w:rFonts w:cs="Arial"/>
                <w:sz w:val="18"/>
                <w:szCs w:val="18"/>
              </w:rPr>
              <w:t>/2016</w:t>
            </w:r>
          </w:p>
        </w:tc>
        <w:tc>
          <w:tcPr>
            <w:tcW w:w="3653" w:type="dxa"/>
          </w:tcPr>
          <w:p w:rsidR="004D58E2" w:rsidRPr="00F3022A" w:rsidRDefault="001F0373" w:rsidP="004D58E2">
            <w:pPr>
              <w:rPr>
                <w:rFonts w:cs="Arial"/>
                <w:sz w:val="18"/>
                <w:szCs w:val="18"/>
              </w:rPr>
            </w:pPr>
            <w:r w:rsidRPr="001F0373">
              <w:rPr>
                <w:rFonts w:cs="Arial"/>
                <w:sz w:val="18"/>
                <w:szCs w:val="18"/>
              </w:rPr>
              <w:t xml:space="preserve">El documento que contiene el fideicomiso ante el fiduciario HSBC México, S.A. Institución de Banca Múltiple de la fracción 1 del predio rustico denominado fracción Norte de Santa Cruz de </w:t>
            </w:r>
            <w:proofErr w:type="spellStart"/>
            <w:r w:rsidRPr="001F0373">
              <w:rPr>
                <w:rFonts w:cs="Arial"/>
                <w:sz w:val="18"/>
                <w:szCs w:val="18"/>
              </w:rPr>
              <w:t>Quelitan</w:t>
            </w:r>
            <w:proofErr w:type="spellEnd"/>
            <w:r w:rsidRPr="001F0373">
              <w:rPr>
                <w:rFonts w:cs="Arial"/>
                <w:sz w:val="18"/>
                <w:szCs w:val="18"/>
              </w:rPr>
              <w:t>, mismo que se ubica a 20 Kilómetros del Poblado de Puerto Vallarta, Jalisco</w:t>
            </w:r>
          </w:p>
        </w:tc>
        <w:tc>
          <w:tcPr>
            <w:tcW w:w="2907" w:type="dxa"/>
          </w:tcPr>
          <w:p w:rsidR="004D58E2" w:rsidRPr="00D77A58" w:rsidRDefault="001F0373"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58E2" w:rsidRPr="00D77A58" w:rsidTr="00F3022A">
        <w:tc>
          <w:tcPr>
            <w:tcW w:w="1417" w:type="dxa"/>
          </w:tcPr>
          <w:p w:rsidR="004D58E2" w:rsidRDefault="009E247E" w:rsidP="004D58E2">
            <w:pPr>
              <w:rPr>
                <w:rFonts w:cs="Arial"/>
                <w:sz w:val="18"/>
                <w:szCs w:val="18"/>
              </w:rPr>
            </w:pPr>
            <w:r>
              <w:rPr>
                <w:rFonts w:cs="Arial"/>
                <w:sz w:val="18"/>
                <w:szCs w:val="18"/>
              </w:rPr>
              <w:t>826</w:t>
            </w:r>
            <w:r w:rsidR="004D58E2">
              <w:rPr>
                <w:rFonts w:cs="Arial"/>
                <w:sz w:val="18"/>
                <w:szCs w:val="18"/>
              </w:rPr>
              <w:t>/2016</w:t>
            </w:r>
          </w:p>
        </w:tc>
        <w:tc>
          <w:tcPr>
            <w:tcW w:w="3653" w:type="dxa"/>
          </w:tcPr>
          <w:p w:rsidR="004D58E2" w:rsidRPr="004D58E2" w:rsidRDefault="001F0373" w:rsidP="004D58E2">
            <w:pPr>
              <w:rPr>
                <w:rFonts w:cs="Arial"/>
                <w:sz w:val="18"/>
                <w:szCs w:val="18"/>
              </w:rPr>
            </w:pPr>
            <w:r w:rsidRPr="001F0373">
              <w:rPr>
                <w:rFonts w:cs="Arial"/>
                <w:sz w:val="18"/>
                <w:szCs w:val="18"/>
              </w:rPr>
              <w:t>Los recibos, comprobantes o constancias del pago de derechos por el uso, goce y disfrute de la zona federal marítimo terrestre de la concesión otorgada al instituto de Pensiones del Estado de Jalisco, publicada en el Diario Oficial de la Federación el 18 de Mayo del 2015 en Playa Camarones Puerto Vallarta, Estado de Jalisco</w:t>
            </w:r>
          </w:p>
        </w:tc>
        <w:tc>
          <w:tcPr>
            <w:tcW w:w="2907" w:type="dxa"/>
          </w:tcPr>
          <w:p w:rsidR="004D58E2" w:rsidRPr="00D77A58" w:rsidRDefault="004D58E2"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C5C43" w:rsidP="002A1A49">
      <w:pPr>
        <w:rPr>
          <w:rFonts w:cs="Arial"/>
          <w:sz w:val="24"/>
          <w:szCs w:val="24"/>
        </w:rPr>
      </w:pPr>
      <w:r>
        <w:rPr>
          <w:rFonts w:cs="Arial"/>
          <w:b/>
          <w:sz w:val="24"/>
          <w:szCs w:val="24"/>
        </w:rPr>
        <w:t>5</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CC5C43" w:rsidP="002A1A49">
      <w:pPr>
        <w:rPr>
          <w:rFonts w:cs="Arial"/>
          <w:sz w:val="24"/>
          <w:szCs w:val="24"/>
        </w:rPr>
      </w:pPr>
      <w:r>
        <w:rPr>
          <w:rFonts w:cs="Arial"/>
          <w:b/>
          <w:sz w:val="24"/>
          <w:szCs w:val="24"/>
        </w:rPr>
        <w:t>6</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1F0373">
        <w:rPr>
          <w:rFonts w:cs="Arial"/>
          <w:sz w:val="24"/>
          <w:szCs w:val="24"/>
        </w:rPr>
        <w:t>10 de Octubre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bookmarkStart w:id="0" w:name="_GoBack"/>
      <w:bookmarkEnd w:id="0"/>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1E1317"/>
    <w:multiLevelType w:val="hybridMultilevel"/>
    <w:tmpl w:val="3754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7"/>
  </w:num>
  <w:num w:numId="3">
    <w:abstractNumId w:val="6"/>
  </w:num>
  <w:num w:numId="4">
    <w:abstractNumId w:val="2"/>
  </w:num>
  <w:num w:numId="5">
    <w:abstractNumId w:val="0"/>
  </w:num>
  <w:num w:numId="6">
    <w:abstractNumId w:val="10"/>
  </w:num>
  <w:num w:numId="7">
    <w:abstractNumId w:val="5"/>
  </w:num>
  <w:num w:numId="8">
    <w:abstractNumId w:val="9"/>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C3B1D"/>
    <w:rsid w:val="001F0200"/>
    <w:rsid w:val="001F0373"/>
    <w:rsid w:val="0024292A"/>
    <w:rsid w:val="0024761E"/>
    <w:rsid w:val="00274D21"/>
    <w:rsid w:val="002A1A49"/>
    <w:rsid w:val="002A5630"/>
    <w:rsid w:val="002C19D3"/>
    <w:rsid w:val="002C3BA2"/>
    <w:rsid w:val="00300D88"/>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4D44FC"/>
    <w:rsid w:val="004D58E2"/>
    <w:rsid w:val="005025A9"/>
    <w:rsid w:val="005116A4"/>
    <w:rsid w:val="0056246D"/>
    <w:rsid w:val="00572FBE"/>
    <w:rsid w:val="00591A8F"/>
    <w:rsid w:val="005A7582"/>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D76C6"/>
    <w:rsid w:val="008E2338"/>
    <w:rsid w:val="00906C9C"/>
    <w:rsid w:val="0091502C"/>
    <w:rsid w:val="00950FE8"/>
    <w:rsid w:val="00981F0F"/>
    <w:rsid w:val="00990AAC"/>
    <w:rsid w:val="009B6CB7"/>
    <w:rsid w:val="009E247E"/>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0EF7"/>
    <w:rsid w:val="00BB7BD6"/>
    <w:rsid w:val="00BF3E7E"/>
    <w:rsid w:val="00BF595E"/>
    <w:rsid w:val="00C15CEC"/>
    <w:rsid w:val="00C818D6"/>
    <w:rsid w:val="00C95FBD"/>
    <w:rsid w:val="00CC0407"/>
    <w:rsid w:val="00CC5C43"/>
    <w:rsid w:val="00CC76F6"/>
    <w:rsid w:val="00CE17D5"/>
    <w:rsid w:val="00CF215E"/>
    <w:rsid w:val="00D72F04"/>
    <w:rsid w:val="00D77A58"/>
    <w:rsid w:val="00DD2049"/>
    <w:rsid w:val="00DE7C69"/>
    <w:rsid w:val="00E21673"/>
    <w:rsid w:val="00E34126"/>
    <w:rsid w:val="00E423D3"/>
    <w:rsid w:val="00E446EE"/>
    <w:rsid w:val="00E474A2"/>
    <w:rsid w:val="00E96BD0"/>
    <w:rsid w:val="00ED0F84"/>
    <w:rsid w:val="00EE02B0"/>
    <w:rsid w:val="00EF1B0D"/>
    <w:rsid w:val="00F00664"/>
    <w:rsid w:val="00F057F7"/>
    <w:rsid w:val="00F3022A"/>
    <w:rsid w:val="00F33226"/>
    <w:rsid w:val="00F65998"/>
    <w:rsid w:val="00F837A4"/>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5</cp:revision>
  <cp:lastPrinted>2016-06-10T02:35:00Z</cp:lastPrinted>
  <dcterms:created xsi:type="dcterms:W3CDTF">2016-10-10T04:16:00Z</dcterms:created>
  <dcterms:modified xsi:type="dcterms:W3CDTF">2016-10-10T05:39:00Z</dcterms:modified>
</cp:coreProperties>
</file>